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pPr w:bottomFromText="0" w:horzAnchor="margin" w:leftFromText="180" w:rightFromText="180" w:tblpX="0" w:tblpY="510" w:topFromText="0" w:vertAnchor="margin"/>
        <w:tblW w:w="95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00"/>
      </w:tblGrid>
      <w:tr>
        <w:trPr>
          <w:trHeight w:val="925" w:hRule="atLeast"/>
        </w:trPr>
        <w:tc>
          <w:tcPr>
            <w:tcW w:w="950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42" w:leader="none"/>
                <w:tab w:val="left" w:pos="7350" w:leader="none"/>
              </w:tabs>
              <w:snapToGrid w:val="false"/>
              <w:rPr/>
            </w:pPr>
            <w:r>
              <w:rPr/>
              <w:tab/>
            </w:r>
            <w:r>
              <w:rPr/>
              <w:drawing>
                <wp:inline distT="0" distB="0" distL="0" distR="0">
                  <wp:extent cx="516890" cy="58864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166" w:hRule="atLeast"/>
        </w:trPr>
        <w:tc>
          <w:tcPr>
            <w:tcW w:w="9500" w:type="dxa"/>
            <w:tcBorders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12" w:leader="none"/>
                <w:tab w:val="left" w:pos="1560" w:leader="none"/>
                <w:tab w:val="left" w:pos="2652" w:leader="none"/>
              </w:tabs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АДМИНИСТРАЦИЯ АРТИНСКОГО ГОРОДСКОГО ОКРУГА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ПОСТАНОВЛЕНИЕ</w:t>
            </w:r>
          </w:p>
        </w:tc>
      </w:tr>
    </w:tbl>
    <w:p>
      <w:pPr>
        <w:pStyle w:val="Normal"/>
        <w:jc w:val="right"/>
        <w:rPr>
          <w:b/>
          <w:b/>
        </w:rPr>
      </w:pPr>
      <w:r>
        <w:rPr>
          <w:b/>
        </w:rPr>
      </w:r>
    </w:p>
    <w:tbl>
      <w:tblPr>
        <w:tblW w:w="4380" w:type="dxa"/>
        <w:jc w:val="left"/>
        <w:tblInd w:w="1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9"/>
        <w:gridCol w:w="1081"/>
        <w:gridCol w:w="744"/>
        <w:gridCol w:w="484"/>
        <w:gridCol w:w="1591"/>
      </w:tblGrid>
      <w:tr>
        <w:trPr/>
        <w:tc>
          <w:tcPr>
            <w:tcW w:w="47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от</w:t>
            </w:r>
          </w:p>
        </w:tc>
        <w:tc>
          <w:tcPr>
            <w:tcW w:w="1825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24.02.2022г.</w:t>
            </w:r>
          </w:p>
        </w:tc>
        <w:tc>
          <w:tcPr>
            <w:tcW w:w="484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№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108</w:t>
            </w:r>
          </w:p>
        </w:tc>
      </w:tr>
      <w:tr>
        <w:trPr>
          <w:trHeight w:val="363" w:hRule="atLeast"/>
        </w:trPr>
        <w:tc>
          <w:tcPr>
            <w:tcW w:w="15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  <w:t>п г т. Арти</w:t>
            </w:r>
          </w:p>
        </w:tc>
        <w:tc>
          <w:tcPr>
            <w:tcW w:w="2819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4200" w:leader="none"/>
        </w:tabs>
        <w:rPr>
          <w:color w:val="FF0000"/>
        </w:rPr>
      </w:pPr>
      <w:r>
        <w:rPr/>
        <w:t xml:space="preserve">                      </w:t>
      </w:r>
      <w:r>
        <w:rPr>
          <w:color w:val="FF0000"/>
        </w:rPr>
        <w:t xml:space="preserve">                                 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 xml:space="preserve">О  внесении изменений в постановление Администрации 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 xml:space="preserve">Артинского городского округа от 18.02.2019г. № 175 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«Об утверждении муниципальной программы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bCs/>
          <w:i/>
          <w:iCs/>
        </w:rPr>
        <w:t xml:space="preserve"> </w:t>
      </w:r>
      <w:r>
        <w:rPr>
          <w:b/>
          <w:i/>
        </w:rPr>
        <w:t xml:space="preserve">«Развитие культуры в Артинском городском округе до 2024года» 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 xml:space="preserve">(в редакции постановлений от 23.04.2019г. № 686, 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>от 26.07.2019г. № 888,  от 11.11.2019 № 1166,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 xml:space="preserve"> </w:t>
      </w:r>
      <w:r>
        <w:rPr>
          <w:b/>
          <w:i/>
        </w:rPr>
        <w:t>от 10.02.2020 № 92, от 29.07.2020 № 439, от 01.02.2021 № 43, от 02.06.2021 № 298)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hanging="360"/>
        <w:jc w:val="both"/>
        <w:rPr/>
      </w:pPr>
      <w:r>
        <w:rPr/>
        <w:t xml:space="preserve">      </w:t>
      </w:r>
      <w:r>
        <w:rPr/>
        <w:tab/>
        <w:t xml:space="preserve">В соответствии с Постановлением Администрации Артинского городского округа от 24.10.2016г. № 976 «О Порядке формирования и реализации муниципальных программ Артинского городского округа»,  Решением Думы Артинского городского округа от 28.02.2018г. № 6 «О Положении «Об Управлении культуры, спорта, туризма и молодежной политики Администрации Артинского городского округа» в новой редакции, в целях обеспечения целевого использования средств бюджета Артинского городского округа в рамках реализации </w:t>
      </w:r>
      <w:r>
        <w:rPr>
          <w:bCs/>
          <w:iCs/>
        </w:rPr>
        <w:t xml:space="preserve">муниципальной программы </w:t>
      </w:r>
      <w:r>
        <w:rPr/>
        <w:t>«Развитие культуры в Артинском городском округе до 2024 года», руководствуясь Уставом Артинского городского округа</w:t>
      </w:r>
    </w:p>
    <w:p>
      <w:pPr>
        <w:pStyle w:val="Normal"/>
        <w:ind w:hanging="360"/>
        <w:jc w:val="both"/>
        <w:rPr/>
      </w:pPr>
      <w:r>
        <w:rPr/>
      </w:r>
    </w:p>
    <w:p>
      <w:pPr>
        <w:pStyle w:val="Normal"/>
        <w:ind w:hanging="360"/>
        <w:jc w:val="both"/>
        <w:rPr>
          <w:b/>
          <w:b/>
          <w:bCs/>
        </w:rPr>
      </w:pPr>
      <w:r>
        <w:rPr>
          <w:b/>
          <w:bCs/>
        </w:rPr>
        <w:t>ПОСТАНОВЛЯЮ:</w:t>
      </w:r>
    </w:p>
    <w:p>
      <w:pPr>
        <w:pStyle w:val="Normal"/>
        <w:ind w:hanging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/>
      </w:pPr>
      <w:r>
        <w:rPr/>
        <w:t xml:space="preserve">1.Внести изменения в </w:t>
      </w:r>
      <w:r>
        <w:rPr>
          <w:bCs/>
          <w:iCs/>
        </w:rPr>
        <w:t>постановление Администрации Артинского городского округа от 18.02.2019г. № 175 «Об утверждении  муниципальной программы «Развитие  культуры в Артинском городском округе до 2024 года»</w:t>
      </w:r>
      <w:r>
        <w:rPr/>
        <w:t>:</w:t>
      </w:r>
    </w:p>
    <w:p>
      <w:pPr>
        <w:pStyle w:val="ConsPlusCell"/>
        <w:jc w:val="both"/>
        <w:rPr/>
      </w:pPr>
      <w:r>
        <w:rPr/>
        <w:t xml:space="preserve">          </w:t>
      </w:r>
      <w:r>
        <w:rPr/>
        <w:t>1.1.Табличную часть Паспорта муниципальной программы «Объемы финансирования муниципальной программы по годам реализации» изложить в следующей редакции (Приложение № 1);</w:t>
      </w:r>
    </w:p>
    <w:p>
      <w:pPr>
        <w:pStyle w:val="ConsPlusCell"/>
        <w:jc w:val="both"/>
        <w:rPr/>
      </w:pPr>
      <w:r>
        <w:rPr/>
        <w:t xml:space="preserve">          </w:t>
      </w:r>
      <w:r>
        <w:rPr/>
        <w:t xml:space="preserve">1.2. Дополнить задачу 1 </w:t>
      </w:r>
      <w:r>
        <w:rPr>
          <w:bCs/>
          <w:iCs/>
        </w:rPr>
        <w:t>«</w:t>
      </w:r>
      <w:r>
        <w:rPr/>
        <w:t>Повышение доступности и качества услуг, оказываемых населению в сфере культуры» подпрограммы 1 приложения № 1 строкой 14</w:t>
      </w:r>
      <w:r>
        <w:rPr>
          <w:rFonts w:eastAsia="Calibri"/>
        </w:rPr>
        <w:t xml:space="preserve"> следующего содержания </w:t>
      </w:r>
      <w:r>
        <w:rPr/>
        <w:t>(приложение № 2);</w:t>
      </w:r>
    </w:p>
    <w:p>
      <w:pPr>
        <w:pStyle w:val="Normal"/>
        <w:pBdr/>
        <w:jc w:val="both"/>
        <w:rPr>
          <w:sz w:val="24"/>
          <w:szCs w:val="24"/>
        </w:rPr>
        <w:framePr w:w="631" w:h="322" w:x="0" w:y="1" w:hSpace="180" w:vSpace="0" w:wrap="around" w:vAnchor="text" w:hAnchor="text" w:hRule="exact"/>
        <w:pBdr/>
      </w:pPr>
      <w:r>
        <w:rPr/>
        <w:t xml:space="preserve">         </w:t>
      </w:r>
    </w:p>
    <w:p>
      <w:pPr>
        <w:pStyle w:val="ConsPlusCell"/>
        <w:jc w:val="both"/>
        <w:rPr/>
      </w:pPr>
      <w:r>
        <w:rPr/>
        <w:t xml:space="preserve">      </w:t>
      </w:r>
      <w:r>
        <w:rPr/>
        <w:t>1.3. Целевой показатель в строке 23 Задачи 2 «Создание условий для развития творческого потенциала населения» подпрограммы 1 приложения № 1 изложить в следующей редакции</w:t>
      </w:r>
      <w:r>
        <w:rPr>
          <w:rFonts w:eastAsia="Calibri"/>
        </w:rPr>
        <w:t xml:space="preserve"> </w:t>
      </w:r>
      <w:r>
        <w:rPr/>
        <w:t xml:space="preserve">(приложение № 3); </w:t>
      </w:r>
    </w:p>
    <w:p>
      <w:pPr>
        <w:pStyle w:val="Normal"/>
        <w:jc w:val="both"/>
        <w:rPr/>
      </w:pPr>
      <w:r>
        <w:rPr/>
        <w:t xml:space="preserve">          </w:t>
      </w:r>
      <w:r>
        <w:rPr/>
        <w:t>1.4. Дополнить задачу 2 «Создание условий для развития творческого потенциала населения» подпрограммы 1 приложения № 1 строками 24,25</w:t>
      </w:r>
      <w:r>
        <w:rPr>
          <w:rFonts w:eastAsia="Calibri"/>
        </w:rPr>
        <w:t xml:space="preserve"> следующего содержания </w:t>
      </w:r>
      <w:r>
        <w:rPr/>
        <w:t>(приложение № 4);</w:t>
      </w:r>
    </w:p>
    <w:p>
      <w:pPr>
        <w:pStyle w:val="Normal"/>
        <w:jc w:val="both"/>
        <w:rPr/>
      </w:pPr>
      <w:r>
        <w:rPr/>
        <w:t xml:space="preserve">          </w:t>
      </w:r>
      <w:r>
        <w:rPr/>
        <w:t>1.5. Дополнить задачу 3 «Обеспечение условий для развития инновационной деятельности муниципальных учреждений культуры,  формирование в Артинском городском округе информационного пространства, основанного на знаниях» подпрограммы 1 приложения № 1 строкой 36</w:t>
      </w:r>
      <w:r>
        <w:rPr>
          <w:rFonts w:eastAsia="Calibri"/>
        </w:rPr>
        <w:t xml:space="preserve"> следующего содержания </w:t>
      </w:r>
      <w:r>
        <w:rPr/>
        <w:t>(приложение № 5);</w:t>
      </w:r>
    </w:p>
    <w:p>
      <w:pPr>
        <w:pStyle w:val="Normal"/>
        <w:jc w:val="both"/>
        <w:rPr/>
      </w:pPr>
      <w:r>
        <w:rPr/>
        <w:t xml:space="preserve">          </w:t>
      </w:r>
      <w:r>
        <w:rPr/>
        <w:t xml:space="preserve">1.6. Добавить задачу 7 подпрограммы 1 приложения № 1 «Обеспечение деятельности муниципальных учреждений культуры и искусства»; добавить строку 45 подпрограммы 1 приложения № 1 следующего содержания (приложение № 6);  </w:t>
      </w:r>
    </w:p>
    <w:p>
      <w:pPr>
        <w:pStyle w:val="Normal"/>
        <w:pBdr/>
        <w:jc w:val="both"/>
        <w:rPr>
          <w:sz w:val="24"/>
          <w:szCs w:val="24"/>
          <w:lang w:eastAsia="ru-RU"/>
        </w:rPr>
        <w:framePr w:w="771" w:h="322" w:x="0" w:y="1" w:hSpace="180" w:vSpace="0" w:wrap="around" w:vAnchor="text" w:hAnchor="text" w:hRule="exact"/>
        <w:pBdr/>
      </w:pPr>
      <w:r>
        <w:rPr/>
        <w:t xml:space="preserve">           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>1.7. Дополнить задачу 1 «</w:t>
      </w:r>
      <w:r>
        <w:rPr>
          <w:lang w:eastAsia="ru-RU"/>
        </w:rPr>
        <w:t xml:space="preserve">Совершенствование подготовки выпускников муниципального образовательного учреждения в сфере культуры </w:t>
      </w:r>
      <w:r>
        <w:rPr/>
        <w:t xml:space="preserve">и искусства </w:t>
      </w:r>
      <w:r>
        <w:rPr>
          <w:rFonts w:eastAsia="Calibri"/>
          <w:lang w:eastAsia="en-US"/>
        </w:rPr>
        <w:t>муниципальное бюджетное учреждение дополнительного образования «Артинская детская школа искусств</w:t>
      </w:r>
      <w:r>
        <w:rPr>
          <w:rFonts w:eastAsia="Calibri"/>
          <w:sz w:val="22"/>
          <w:szCs w:val="22"/>
          <w:lang w:eastAsia="en-US"/>
        </w:rPr>
        <w:t>»</w:t>
      </w:r>
      <w:r>
        <w:rPr/>
        <w:t xml:space="preserve"> подпрограммы 2 приложения № 1  строкой 52</w:t>
      </w:r>
      <w:r>
        <w:rPr>
          <w:rFonts w:eastAsia="Calibri"/>
        </w:rPr>
        <w:t xml:space="preserve"> следующего содержания </w:t>
      </w:r>
      <w:r>
        <w:rPr/>
        <w:t xml:space="preserve">(приложение № 7);   </w:t>
      </w:r>
    </w:p>
    <w:p>
      <w:pPr>
        <w:pStyle w:val="Normal"/>
        <w:jc w:val="both"/>
        <w:rPr/>
      </w:pPr>
      <w:r>
        <w:rPr/>
        <w:t xml:space="preserve">          </w:t>
      </w:r>
      <w:r>
        <w:rPr/>
        <w:t>1.8. Исключить строку «Освобождение от уплаты земельного налога муниципальных учреждений культуры» задачи 6 подпрограммы 1 приложения № 1;</w:t>
      </w:r>
    </w:p>
    <w:p>
      <w:pPr>
        <w:pStyle w:val="Normal"/>
        <w:jc w:val="both"/>
        <w:rPr/>
      </w:pPr>
      <w:r>
        <w:rPr/>
        <w:t xml:space="preserve">           </w:t>
      </w:r>
      <w:r>
        <w:rPr/>
        <w:t xml:space="preserve">1.9. Приложение № 2 «План мероприятий по выполнению муниципальной программы </w:t>
      </w:r>
      <w:r>
        <w:rPr>
          <w:bCs/>
          <w:iCs/>
        </w:rPr>
        <w:t>«Развитие  культуры в Артинском городском округе до 2024 года»</w:t>
      </w:r>
      <w:r>
        <w:rPr/>
        <w:t xml:space="preserve"> читать в новой редакции (приложение № 8);           </w:t>
      </w:r>
    </w:p>
    <w:p>
      <w:pPr>
        <w:pStyle w:val="Normal"/>
        <w:jc w:val="both"/>
        <w:rPr/>
      </w:pPr>
      <w:r>
        <w:rPr/>
        <w:t xml:space="preserve">          </w:t>
      </w:r>
      <w:r>
        <w:rPr/>
        <w:t xml:space="preserve">2.Настоящее постановление опубликовать в «Муниципальном вестнике» газеты «Артинские вести», на официальном сайте Администрации Артинского городского округа. </w:t>
      </w:r>
    </w:p>
    <w:p>
      <w:pPr>
        <w:pStyle w:val="Normal"/>
        <w:ind w:firstLine="708"/>
        <w:jc w:val="both"/>
        <w:rPr/>
      </w:pPr>
      <w:r>
        <w:rPr/>
        <w:t>3.Контроль за  исполнением  настоящего  постановления возложить  на</w:t>
      </w:r>
    </w:p>
    <w:p>
      <w:pPr>
        <w:pStyle w:val="Style20"/>
        <w:ind w:hanging="0"/>
        <w:rPr>
          <w:sz w:val="28"/>
        </w:rPr>
      </w:pPr>
      <w:r>
        <w:rPr>
          <w:sz w:val="28"/>
        </w:rPr>
        <w:t>заместителя Главы Администрации Артинского городского округа Токарева С. А.</w:t>
      </w:r>
    </w:p>
    <w:p>
      <w:pPr>
        <w:pStyle w:val="Style20"/>
        <w:ind w:hanging="0"/>
        <w:rPr>
          <w:sz w:val="28"/>
        </w:rPr>
      </w:pPr>
      <w:r>
        <w:rPr>
          <w:sz w:val="28"/>
        </w:rPr>
      </w:r>
    </w:p>
    <w:p>
      <w:pPr>
        <w:pStyle w:val="Style20"/>
        <w:ind w:hanging="0"/>
        <w:rPr>
          <w:bCs/>
          <w:sz w:val="28"/>
        </w:rPr>
      </w:pPr>
      <w:r>
        <w:rPr>
          <w:bCs/>
          <w:iCs/>
          <w:sz w:val="28"/>
        </w:rPr>
        <w:t xml:space="preserve">     </w:t>
      </w:r>
      <w:r>
        <w:rPr>
          <w:bCs/>
          <w:iCs/>
          <w:sz w:val="28"/>
        </w:rPr>
        <w:t>Глава</w:t>
      </w:r>
      <w:r>
        <w:rPr>
          <w:bCs/>
          <w:sz w:val="28"/>
        </w:rPr>
        <w:t xml:space="preserve">  </w:t>
      </w:r>
      <w:r>
        <w:rPr>
          <w:bCs/>
          <w:iCs/>
          <w:sz w:val="28"/>
        </w:rPr>
        <w:t>Артинского городского округа</w:t>
      </w:r>
      <w:r>
        <w:rPr>
          <w:bCs/>
          <w:sz w:val="28"/>
        </w:rPr>
        <w:t xml:space="preserve">                             А.А. Константинов</w:t>
      </w:r>
    </w:p>
    <w:p>
      <w:pPr>
        <w:pStyle w:val="Style20"/>
        <w:ind w:hanging="0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jc w:val="right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jc w:val="right"/>
        <w:rPr>
          <w:bCs/>
          <w:sz w:val="28"/>
        </w:rPr>
      </w:pPr>
      <w:r>
        <w:rPr>
          <w:bCs/>
          <w:sz w:val="28"/>
        </w:rPr>
        <w:t>Приложение № 1</w:t>
      </w:r>
    </w:p>
    <w:p>
      <w:pPr>
        <w:pStyle w:val="Normal"/>
        <w:jc w:val="right"/>
        <w:rPr/>
      </w:pPr>
      <w:r>
        <w:rPr/>
        <w:t xml:space="preserve">Утверждено постановлением Администрации                                               Артинского городского округа                                                                                            от "24" февраля 2022г. № 108   </w:t>
      </w:r>
    </w:p>
    <w:p>
      <w:pPr>
        <w:pStyle w:val="Style20"/>
        <w:ind w:hanging="0"/>
        <w:jc w:val="right"/>
        <w:rPr>
          <w:bCs/>
          <w:sz w:val="28"/>
        </w:rPr>
      </w:pPr>
      <w:r>
        <w:rPr>
          <w:bCs/>
          <w:sz w:val="28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ПАСПОРТ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МУНИЦИПАЛЬНОЙ ПРОГРАММЫ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«РАЗВИТИЕ КУЛЬТУРЫ В АРТИНСКОМ ГОРОДСКОМ ОКРУГЕ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ДО 2024 ГОДА»</w:t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0"/>
        <w:gridCol w:w="4961"/>
      </w:tblGrid>
      <w:tr>
        <w:trPr/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спорта, туризма и молодёжной политики Администрации Артинского городского округа</w:t>
            </w:r>
          </w:p>
        </w:tc>
      </w:tr>
      <w:tr>
        <w:trPr/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муниципальной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2019 - 2024 годы</w:t>
            </w:r>
          </w:p>
        </w:tc>
      </w:tr>
      <w:tr>
        <w:trPr/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задачи муниципальной 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Развитие культуры, самобытного народного творчества, повышение уровня интеллектуального и культурного развития жителей округа и удовлетворение их потребности в свободной культурно-творческой самореализации в Артинском городском округе.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повышение доступности и качества услуг, оказываемых населению в сфере культуры;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 создание условий для развития творческого потенциала населения;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3)обеспечение условий для развития инновационной деятельности муниципальных учреждений культуры, формирование в Артинском городском округе информационного пространства, основанного на знаниях;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одействие укреплению</w:t>
            </w:r>
            <w:r>
              <w:rPr/>
              <w:t xml:space="preserve"> единства </w:t>
            </w:r>
            <w:r>
              <w:rPr>
                <w:sz w:val="24"/>
                <w:szCs w:val="24"/>
              </w:rPr>
              <w:t>российской нации, гармонизации межэтнических и межконфессиональных отношений, этнокультурному развитию, взаимодействию с национально-культурными общественными объединениями и казачеством в Артинском городском округе;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оздание условий для сохранения и развития кадрового потенциала сферы культуры;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овершенствование организационных, экономических и правовых механизмов развития культуры Артинского городского округа;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 Обеспечение деятельности муниципальных учреждений культуры и искусства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Развитие культуры, самобытного народного творчества, повышение уровня интеллектуального и культурного развития жителей округа и удовлетворение их потребности в свободной культурно-творческой самореализации в Артинском городском округе.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Задача: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1) </w:t>
            </w:r>
            <w:r>
              <w:rPr>
                <w:sz w:val="24"/>
                <w:szCs w:val="24"/>
                <w:lang w:val="en-US" w:eastAsia="ru-RU"/>
              </w:rPr>
              <w:t>c</w:t>
            </w:r>
            <w:r>
              <w:rPr>
                <w:sz w:val="24"/>
                <w:szCs w:val="24"/>
                <w:lang w:eastAsia="ru-RU"/>
              </w:rPr>
              <w:t xml:space="preserve">овершенствование подготовки выпускников муниципального образовательного учреждения в сфере культуры и искусства - </w:t>
            </w:r>
            <w:r>
              <w:rPr>
                <w:sz w:val="24"/>
                <w:szCs w:val="24"/>
              </w:rPr>
              <w:t>муниципальное бюджетное учреждение дополнительного образования «Артинская детская школа искусств»;</w:t>
            </w:r>
          </w:p>
          <w:p>
            <w:pPr>
              <w:pStyle w:val="Normal"/>
              <w:widowControl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"Развитие культуры и искусства в Артинском городском округе до 2024 года";</w:t>
            </w:r>
          </w:p>
          <w:p>
            <w:pPr>
              <w:pStyle w:val="Normal"/>
              <w:widowControl w:val="false"/>
              <w:jc w:val="both"/>
              <w:rPr>
                <w:rFonts w:cs="Calibri"/>
              </w:rPr>
            </w:pPr>
            <w:r>
              <w:rPr>
                <w:sz w:val="24"/>
                <w:szCs w:val="24"/>
              </w:rPr>
              <w:t>подпрограмма 2 "Развитие образования в сфере культуры и искусства".</w:t>
            </w:r>
          </w:p>
        </w:tc>
      </w:tr>
      <w:tr>
        <w:trPr/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Число посещений муниципальных библиотек;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Количество экземпляров новых поступлений в фонды муниципальных библиотек Артинского городского округа в расчете на 1000 жителей;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Количество книговыдач на 1 жителя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Доля модельных библиотек в структуре сельской библиотечной сети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Посещаемость населением киносеансов, проводимых организациями, осуществляющими кинопоказ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Доля фильмов российского производства в общем объеме проката на территории АГО (нарастающим итогом)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Увеличение численности участников культурно – досуговых мероприятий (по сравнению с предыдущим годом)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Проведение культурно-массовых социально-значимых мероприятий в соответствии с перечнем утвержденных мероприятий (социально-культурные проекты)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 Участие в конкурсном отборе на капитальный ремонт культурно-досугового учреждения в сельской местности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 Участие в конкурсе на получение субсидий из федерального бюджета  на оснащение оборудованием кинозалов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</w:t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Число посещений культурных мероприятий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12) Увеличение численности участников культурно-досуговых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13) Удельный вес населения, участвующего в платных культурно-досуговых мероприятиях, проводимых муниципальными учреждениями</w:t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культуры, от общей численности населения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14) Увеличение числа посещений организаций культуры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15) Доля сельских населенных пунктов, охваченных культурно- досуговыми услугами, от общего числа сельских населенных пунктов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16) Количество коллективов самодеятельного художественного творчества, имеющие звание «народный (образцовый)»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17) Доля муниципальных учреждений культуры, находящихся в удовлетворительном состоянии, в общем количестве таких учреждений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18) Введение в эксплуатацию зданий после реконструкции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19) Доля обеспеченности объектов культуры средствами антитеррористической защищенности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20) Количество специалистов, прошедших повышение квалификации на базе Центров непрерывного образования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21)</w:t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Количество волонтеров, вовлеченных в программу «Волонтеры культуры»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22) Количество действующих виртуальных музеев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23) Количество музеев, имеющих веб-сайт в сети Интернет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24) Количество муниципальных музеев, в которых используются информационные системы учета и ведения каталогов в электронном виде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25) Доля центральных муниципальных библиотек, имеющих веб-сайты в сети Интернет, через которые обеспечен доступ к имеющимся у них электронным фондам и электронным каталогам, от общего количества этих библиотек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26) Увеличение количества библиографических записей в сводном электронном каталоге библиотек АГО (по сравнению с предыдущим годом)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27) </w:t>
            </w:r>
            <w:r>
              <w:rPr>
                <w:sz w:val="24"/>
                <w:szCs w:val="24"/>
                <w:lang w:eastAsia="ru-RU"/>
              </w:rPr>
              <w:t>В том числе увеличение количества библиографических записей в сводном электронном каталоге библиотек России</w:t>
            </w:r>
          </w:p>
          <w:p>
            <w:pPr>
              <w:pStyle w:val="ConsPlusCel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(по сравнению с предыдущим годом</w:t>
            </w:r>
            <w:r>
              <w:rPr/>
              <w:t>)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28) Количество электронных изданий поступивших в фонды муниципальных библиотек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29) Доступность для населения услуг Национальной электронной библиотеки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30) Количество муниципальных музеев (с филиалами), оснащенных современными системами и средствами обеспечения сохранности и безопасности фондов, людей и зданий, от их общего количества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31) Количество обращений к порталу «Культура Урала РФ»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32) Численность участников мероприятий, направленных на формирование общероссийской гражданской идентичности и этнокультурное развитие народов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33) Соотношение средней заработной платы работников учреждений культуры к средней заработной плате по экономике Свердловской области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34) Среднесписочная численность работников учреждений культуры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35) Доля муниципальных учреждений культуры, которым установлены муниципальные задания, в общем количестве муниципальных учреждений культуры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36) Уровень удовлетворенности населения качеством и доступностью оказываемых населению государственных услуг в сфере культуры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37) Количество муниципальных учреждений культуры, освобожденных от уплаты земельного налога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38) Количество обучающихся в детской школе искусств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39) Доля выпускников детских школ искусств, поступивших на обучение в образовательные учреждения среднего профессионального образования в сфере культуры и искусства, от общего числа выпускников предыдущего года;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40) Доля учащихся привлекаемых к участию в творческих конкурсных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мероприятиях, от общего числа учащихся детских школ искусств.</w:t>
            </w:r>
          </w:p>
          <w:p>
            <w:pPr>
              <w:pStyle w:val="ConsPlusCel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41) Доля обеспеченности объектов дополнительного образования средствами антитеррористической защищенности</w:t>
            </w:r>
          </w:p>
          <w:p>
            <w:pPr>
              <w:pStyle w:val="Normal"/>
              <w:widowControl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 муниципльной программы по годам реализации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– 819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052,7 тыс.рублей, в том числе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125 903,8 тыс.рублей,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130 114,2 тыс.рублей,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135 610,0 тыс.рублей,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149 763,7 тыс.рублей,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138 135,0 тыс.рублей,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139 526,0 тыс.рублей, из них: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бюджет: 612,3 тыс.руб, в том числе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0,0 тыс.рублей,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0,0 тыс.рублей,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0,0 тыс.рублей,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612,3 тыс.рублей,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 тыс.рублей,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тыс.рублей,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бюджет: 4 599,3 тыс.руб, в том числе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2409,3 тыс.рублей,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1781,5 тыс.рублей,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408,5 тыс.рублей,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0,0 тыс.рублей,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 тыс.рублей,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тыс.рублей,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бюджет:  791 861,8 тыс.рублей, в том числе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116 167,2 тыс.рублей,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126 337,2 тыс.рублей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132 325,0 тыс.рублей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145 891,4 тыс.рублей,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134 875,0 тыс.рублей,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136 266,0 тыс.рублей,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источники: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-     21 979,3  тыс.рублей, в том числе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 7 327,3 тыс.рублей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 1 995,4 тыс.рублей,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 2 876,5 тыс.рублей,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 3 260,0 тыс.рублей,</w:t>
            </w:r>
          </w:p>
          <w:p>
            <w:pPr>
              <w:pStyle w:val="ConsPlusCell"/>
              <w:widowControl w:val="false"/>
              <w:ind w:left="3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 3 260,0 тыс.рублей,</w:t>
            </w:r>
          </w:p>
          <w:p>
            <w:pPr>
              <w:pStyle w:val="Normal"/>
              <w:widowControl w:val="false"/>
              <w:rPr>
                <w:rFonts w:cs="Calibri"/>
                <w:color w:val="FF0000"/>
              </w:rPr>
            </w:pPr>
            <w:r>
              <w:rPr>
                <w:sz w:val="24"/>
                <w:szCs w:val="24"/>
              </w:rPr>
              <w:t>2024 год -  3 260,0  тыс.рублей,</w:t>
            </w:r>
          </w:p>
        </w:tc>
      </w:tr>
      <w:tr>
        <w:trPr/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размещения муниципальной программы в сети Интернет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Calibri"/>
                <w:color w:val="FF0000"/>
              </w:rPr>
            </w:pPr>
            <w:r>
              <w:rPr>
                <w:lang w:eastAsia="ru-RU"/>
              </w:rPr>
              <w:t>http://arti-go.ru/article/show/id/197</w:t>
            </w:r>
          </w:p>
        </w:tc>
      </w:tr>
    </w:tbl>
    <w:p>
      <w:pPr>
        <w:pStyle w:val="Style20"/>
        <w:ind w:hanging="0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jc w:val="right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jc w:val="right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jc w:val="right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jc w:val="right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jc w:val="right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jc w:val="right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jc w:val="right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jc w:val="right"/>
        <w:rPr>
          <w:bCs/>
          <w:sz w:val="28"/>
        </w:rPr>
      </w:pPr>
      <w:r>
        <w:rPr>
          <w:bCs/>
          <w:sz w:val="28"/>
        </w:rPr>
      </w:r>
    </w:p>
    <w:p>
      <w:pPr>
        <w:pStyle w:val="Normal"/>
        <w:jc w:val="right"/>
        <w:rPr/>
      </w:pPr>
      <w:r>
        <w:rPr/>
        <w:t>Приложение № 2</w:t>
      </w:r>
    </w:p>
    <w:p>
      <w:pPr>
        <w:pStyle w:val="Normal"/>
        <w:jc w:val="right"/>
        <w:rPr/>
      </w:pPr>
      <w:r>
        <w:rPr/>
        <w:t>Утверждено постановлением Администрации                                               Артинского городского округа                                                                                            от "24" февраля 2022г. № 108</w:t>
      </w:r>
    </w:p>
    <w:p>
      <w:pPr>
        <w:pStyle w:val="Normal"/>
        <w:jc w:val="center"/>
        <w:rPr/>
      </w:pPr>
      <w:r>
        <w:rPr/>
      </w:r>
    </w:p>
    <w:tbl>
      <w:tblPr>
        <w:tblStyle w:val="ad"/>
        <w:tblW w:w="11058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715"/>
        <w:gridCol w:w="979"/>
        <w:gridCol w:w="1401"/>
        <w:gridCol w:w="697"/>
        <w:gridCol w:w="695"/>
        <w:gridCol w:w="697"/>
        <w:gridCol w:w="876"/>
        <w:gridCol w:w="876"/>
        <w:gridCol w:w="875"/>
        <w:gridCol w:w="1537"/>
      </w:tblGrid>
      <w:tr>
        <w:trPr/>
        <w:tc>
          <w:tcPr>
            <w:tcW w:w="708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строки</w:t>
            </w:r>
          </w:p>
        </w:tc>
        <w:tc>
          <w:tcPr>
            <w:tcW w:w="1715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Наименование цели (целей) и задач, целевых показателей</w:t>
            </w:r>
          </w:p>
        </w:tc>
        <w:tc>
          <w:tcPr>
            <w:tcW w:w="979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ind w:left="-67" w:right="-98" w:firstLine="6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1401" w:type="dxa"/>
            <w:vMerge w:val="restart"/>
            <w:tcBorders/>
          </w:tcPr>
          <w:p>
            <w:pPr>
              <w:pStyle w:val="ConsPlusCel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Справочно: базовое значение целевого показателя</w:t>
            </w:r>
          </w:p>
          <w:p>
            <w:pPr>
              <w:pStyle w:val="ConsPlusCel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 начало реализации программы</w:t>
            </w:r>
          </w:p>
        </w:tc>
        <w:tc>
          <w:tcPr>
            <w:tcW w:w="4716" w:type="dxa"/>
            <w:gridSpan w:val="6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Наименование цели (целей) и задач, целевых показателей</w:t>
            </w:r>
          </w:p>
        </w:tc>
        <w:tc>
          <w:tcPr>
            <w:tcW w:w="1537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Источник значений показателей</w:t>
            </w:r>
          </w:p>
        </w:tc>
      </w:tr>
      <w:tr>
        <w:trPr/>
        <w:tc>
          <w:tcPr>
            <w:tcW w:w="70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</w:r>
          </w:p>
        </w:tc>
        <w:tc>
          <w:tcPr>
            <w:tcW w:w="171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</w:r>
          </w:p>
        </w:tc>
        <w:tc>
          <w:tcPr>
            <w:tcW w:w="979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</w:r>
          </w:p>
        </w:tc>
        <w:tc>
          <w:tcPr>
            <w:tcW w:w="1401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</w:r>
          </w:p>
        </w:tc>
        <w:tc>
          <w:tcPr>
            <w:tcW w:w="697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2019</w:t>
            </w:r>
          </w:p>
        </w:tc>
        <w:tc>
          <w:tcPr>
            <w:tcW w:w="695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2020</w:t>
            </w:r>
          </w:p>
        </w:tc>
        <w:tc>
          <w:tcPr>
            <w:tcW w:w="697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2021</w:t>
            </w:r>
          </w:p>
        </w:tc>
        <w:tc>
          <w:tcPr>
            <w:tcW w:w="876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2022</w:t>
            </w:r>
          </w:p>
        </w:tc>
        <w:tc>
          <w:tcPr>
            <w:tcW w:w="876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2023</w:t>
            </w:r>
          </w:p>
        </w:tc>
        <w:tc>
          <w:tcPr>
            <w:tcW w:w="875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2024</w:t>
            </w:r>
          </w:p>
        </w:tc>
        <w:tc>
          <w:tcPr>
            <w:tcW w:w="1537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0348" w:type="dxa"/>
            <w:gridSpan w:val="10"/>
            <w:tcBorders/>
          </w:tcPr>
          <w:p>
            <w:pPr>
              <w:pStyle w:val="Normal"/>
              <w:widowControl w:val="false"/>
              <w:spacing w:before="0" w:after="0"/>
              <w:ind w:right="-108" w:hanging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Задача 1. Повышение доступности и качества услуг, оказываемых населению в сфере культуры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bidi="ar-SA"/>
              </w:rPr>
              <w:t>Число посещений культурных мероприятий</w:t>
            </w:r>
          </w:p>
        </w:tc>
        <w:tc>
          <w:tcPr>
            <w:tcW w:w="979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Тысяч посещений</w:t>
            </w:r>
          </w:p>
        </w:tc>
        <w:tc>
          <w:tcPr>
            <w:tcW w:w="1401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697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695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697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876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719,18</w:t>
            </w:r>
          </w:p>
        </w:tc>
        <w:tc>
          <w:tcPr>
            <w:tcW w:w="876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784,56</w:t>
            </w:r>
          </w:p>
        </w:tc>
        <w:tc>
          <w:tcPr>
            <w:tcW w:w="875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914,89</w:t>
            </w:r>
          </w:p>
        </w:tc>
        <w:tc>
          <w:tcPr>
            <w:tcW w:w="153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right="-108" w:hanging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Национальный проект «Культура», региональный проект «Культурная среда»</w:t>
            </w:r>
          </w:p>
        </w:tc>
      </w:tr>
    </w:tbl>
    <w:p>
      <w:pPr>
        <w:pStyle w:val="Style20"/>
        <w:ind w:hanging="0"/>
        <w:jc w:val="right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jc w:val="right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jc w:val="right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jc w:val="right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jc w:val="right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jc w:val="right"/>
        <w:rPr>
          <w:bCs/>
          <w:sz w:val="28"/>
        </w:rPr>
      </w:pPr>
      <w:r>
        <w:rPr>
          <w:bCs/>
          <w:sz w:val="28"/>
        </w:rPr>
      </w:r>
    </w:p>
    <w:p>
      <w:pPr>
        <w:pStyle w:val="Style20"/>
        <w:ind w:hanging="0"/>
        <w:jc w:val="right"/>
        <w:rPr>
          <w:bCs/>
          <w:sz w:val="28"/>
        </w:rPr>
      </w:pPr>
      <w:r>
        <w:rPr>
          <w:bCs/>
          <w:sz w:val="28"/>
        </w:rPr>
        <w:t>Приложение № 3</w:t>
      </w:r>
    </w:p>
    <w:p>
      <w:pPr>
        <w:pStyle w:val="Normal"/>
        <w:jc w:val="right"/>
        <w:rPr/>
      </w:pPr>
      <w:r>
        <w:rPr/>
        <w:t>Утверждено постановлением Администрации                                               Артинского городского округа                                                                                            от "24" февраля 2022г. № 108</w:t>
      </w:r>
    </w:p>
    <w:p>
      <w:pPr>
        <w:pStyle w:val="Style20"/>
        <w:ind w:hanging="0"/>
        <w:jc w:val="right"/>
        <w:rPr>
          <w:bCs/>
          <w:sz w:val="28"/>
        </w:rPr>
      </w:pPr>
      <w:r>
        <w:rPr>
          <w:bCs/>
          <w:sz w:val="28"/>
        </w:rPr>
      </w:r>
    </w:p>
    <w:tbl>
      <w:tblPr>
        <w:tblStyle w:val="ad"/>
        <w:tblW w:w="10916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2268"/>
        <w:gridCol w:w="1135"/>
        <w:gridCol w:w="1400"/>
        <w:gridCol w:w="697"/>
        <w:gridCol w:w="696"/>
        <w:gridCol w:w="695"/>
        <w:gridCol w:w="697"/>
        <w:gridCol w:w="695"/>
        <w:gridCol w:w="697"/>
        <w:gridCol w:w="1225"/>
      </w:tblGrid>
      <w:tr>
        <w:trPr/>
        <w:tc>
          <w:tcPr>
            <w:tcW w:w="709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строки</w:t>
            </w:r>
          </w:p>
        </w:tc>
        <w:tc>
          <w:tcPr>
            <w:tcW w:w="2268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Наименование цели (целей) и задач, целевых показателей</w:t>
            </w:r>
          </w:p>
        </w:tc>
        <w:tc>
          <w:tcPr>
            <w:tcW w:w="1135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ind w:left="-67" w:right="-98" w:firstLine="6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1400" w:type="dxa"/>
            <w:vMerge w:val="restart"/>
            <w:tcBorders/>
          </w:tcPr>
          <w:p>
            <w:pPr>
              <w:pStyle w:val="ConsPlusCel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Справочно: базовое значение целевого показателя</w:t>
            </w:r>
          </w:p>
          <w:p>
            <w:pPr>
              <w:pStyle w:val="ConsPlusCel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 начало реализации программы</w:t>
            </w:r>
          </w:p>
        </w:tc>
        <w:tc>
          <w:tcPr>
            <w:tcW w:w="4177" w:type="dxa"/>
            <w:gridSpan w:val="6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jc w:val="center"/>
              <w:rPr>
                <w:bCs/>
                <w:sz w:val="28"/>
              </w:rPr>
            </w:pPr>
            <w:r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  <w:t>Наименование цели (целей) и задач, целевых показателей</w:t>
            </w:r>
          </w:p>
        </w:tc>
        <w:tc>
          <w:tcPr>
            <w:tcW w:w="1225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Источник значений показателей</w:t>
            </w:r>
          </w:p>
        </w:tc>
      </w:tr>
      <w:tr>
        <w:trPr/>
        <w:tc>
          <w:tcPr>
            <w:tcW w:w="709" w:type="dxa"/>
            <w:vMerge w:val="continue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jc w:val="right"/>
              <w:rPr>
                <w:bCs/>
                <w:sz w:val="28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lang w:val="ru-RU" w:bidi="ar-SA"/>
              </w:rPr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jc w:val="right"/>
              <w:rPr>
                <w:bCs/>
                <w:sz w:val="28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lang w:val="ru-RU" w:bidi="ar-SA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jc w:val="right"/>
              <w:rPr>
                <w:bCs/>
                <w:sz w:val="28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lang w:val="ru-RU" w:bidi="ar-SA"/>
              </w:rPr>
            </w:r>
          </w:p>
        </w:tc>
        <w:tc>
          <w:tcPr>
            <w:tcW w:w="1400" w:type="dxa"/>
            <w:vMerge w:val="continue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jc w:val="right"/>
              <w:rPr>
                <w:bCs/>
                <w:sz w:val="28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lang w:val="ru-RU" w:bidi="ar-SA"/>
              </w:rPr>
            </w:r>
          </w:p>
        </w:tc>
        <w:tc>
          <w:tcPr>
            <w:tcW w:w="697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2019</w:t>
            </w:r>
          </w:p>
        </w:tc>
        <w:tc>
          <w:tcPr>
            <w:tcW w:w="696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2020</w:t>
            </w:r>
          </w:p>
        </w:tc>
        <w:tc>
          <w:tcPr>
            <w:tcW w:w="695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2021</w:t>
            </w:r>
          </w:p>
        </w:tc>
        <w:tc>
          <w:tcPr>
            <w:tcW w:w="697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2022</w:t>
            </w:r>
          </w:p>
        </w:tc>
        <w:tc>
          <w:tcPr>
            <w:tcW w:w="695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2023</w:t>
            </w:r>
          </w:p>
        </w:tc>
        <w:tc>
          <w:tcPr>
            <w:tcW w:w="697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2024</w:t>
            </w:r>
          </w:p>
        </w:tc>
        <w:tc>
          <w:tcPr>
            <w:tcW w:w="1225" w:type="dxa"/>
            <w:vMerge w:val="continue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0205" w:type="dxa"/>
            <w:gridSpan w:val="10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jc w:val="center"/>
              <w:rPr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  <w:t xml:space="preserve">Задача 2. </w:t>
            </w:r>
            <w:r>
              <w:rPr>
                <w:rFonts w:eastAsia="Times New Roman" w:cs="Times New Roman"/>
                <w:kern w:val="0"/>
                <w:szCs w:val="24"/>
                <w:lang w:val="ru-RU" w:bidi="ar-SA"/>
              </w:rPr>
              <w:t>Создание условий для развития творческого потенциала населения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bidi="ar-SA"/>
              </w:rPr>
              <w:t>23</w:t>
            </w:r>
          </w:p>
        </w:tc>
        <w:tc>
          <w:tcPr>
            <w:tcW w:w="2268" w:type="dxa"/>
            <w:tcBorders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Доля обеспеченности объектов культуры средствами антитеррористической защищенности</w:t>
            </w:r>
          </w:p>
        </w:tc>
        <w:tc>
          <w:tcPr>
            <w:tcW w:w="1135" w:type="dxa"/>
            <w:tcBorders>
              <w:left w:val="nil"/>
            </w:tcBorders>
          </w:tcPr>
          <w:p>
            <w:pPr>
              <w:pStyle w:val="ConsPlusNormal"/>
              <w:widowControl w:val="false"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процентов</w:t>
            </w:r>
          </w:p>
        </w:tc>
        <w:tc>
          <w:tcPr>
            <w:tcW w:w="1400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697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696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695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82</w:t>
            </w:r>
          </w:p>
        </w:tc>
        <w:tc>
          <w:tcPr>
            <w:tcW w:w="697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82</w:t>
            </w:r>
          </w:p>
        </w:tc>
        <w:tc>
          <w:tcPr>
            <w:tcW w:w="695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82</w:t>
            </w:r>
          </w:p>
        </w:tc>
        <w:tc>
          <w:tcPr>
            <w:tcW w:w="697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82</w:t>
            </w:r>
          </w:p>
        </w:tc>
        <w:tc>
          <w:tcPr>
            <w:tcW w:w="1225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jc w:val="center"/>
              <w:rPr>
                <w:bCs/>
                <w:sz w:val="28"/>
              </w:rPr>
            </w:pPr>
            <w:r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  <w:t>ППСО от 30.08.2016 г. № 595 -ПП</w:t>
            </w:r>
          </w:p>
        </w:tc>
      </w:tr>
    </w:tbl>
    <w:p>
      <w:pPr>
        <w:pStyle w:val="Style20"/>
        <w:ind w:hanging="0"/>
        <w:jc w:val="right"/>
        <w:rPr>
          <w:bCs/>
          <w:sz w:val="28"/>
        </w:rPr>
      </w:pPr>
      <w:r>
        <w:rPr>
          <w:bCs/>
          <w:sz w:val="28"/>
        </w:rPr>
      </w:r>
    </w:p>
    <w:p>
      <w:pPr>
        <w:pStyle w:val="Normal"/>
        <w:jc w:val="center"/>
        <w:rPr>
          <w:b/>
          <w:b/>
        </w:rPr>
      </w:pPr>
      <w:r>
        <w:rPr/>
        <w:t xml:space="preserve">                                                                                            </w:t>
      </w:r>
    </w:p>
    <w:p>
      <w:pPr>
        <w:pStyle w:val="Normal"/>
        <w:jc w:val="right"/>
        <w:rPr/>
      </w:pPr>
      <w:r>
        <w:rPr/>
        <w:t>Приложение № 4</w:t>
      </w:r>
    </w:p>
    <w:p>
      <w:pPr>
        <w:pStyle w:val="Normal"/>
        <w:jc w:val="right"/>
        <w:rPr/>
      </w:pPr>
      <w:r>
        <w:rPr/>
        <w:t>Утверждено постановлением Администрации                                               Артинского городского округа                                                                                            от "24" февраля 2022г. № 108</w:t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tbl>
      <w:tblPr>
        <w:tblStyle w:val="ad"/>
        <w:tblW w:w="10959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1780"/>
        <w:gridCol w:w="1187"/>
        <w:gridCol w:w="1402"/>
        <w:gridCol w:w="753"/>
        <w:gridCol w:w="696"/>
        <w:gridCol w:w="696"/>
        <w:gridCol w:w="695"/>
        <w:gridCol w:w="696"/>
        <w:gridCol w:w="696"/>
        <w:gridCol w:w="1647"/>
      </w:tblGrid>
      <w:tr>
        <w:trPr/>
        <w:tc>
          <w:tcPr>
            <w:tcW w:w="709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строки</w:t>
            </w:r>
          </w:p>
        </w:tc>
        <w:tc>
          <w:tcPr>
            <w:tcW w:w="1780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Наименование цели (целей) и задач, целевых показателей</w:t>
            </w:r>
          </w:p>
        </w:tc>
        <w:tc>
          <w:tcPr>
            <w:tcW w:w="1187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ind w:left="-67" w:right="-98" w:firstLine="6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1402" w:type="dxa"/>
            <w:vMerge w:val="restart"/>
            <w:tcBorders/>
          </w:tcPr>
          <w:p>
            <w:pPr>
              <w:pStyle w:val="ConsPlusCel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Справочно: базовое значение целевого показателя</w:t>
            </w:r>
          </w:p>
          <w:p>
            <w:pPr>
              <w:pStyle w:val="ConsPlusCel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 начало реализации программы</w:t>
            </w:r>
          </w:p>
        </w:tc>
        <w:tc>
          <w:tcPr>
            <w:tcW w:w="4232" w:type="dxa"/>
            <w:gridSpan w:val="6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Наименование цели (целей) и задач, целевых показателей</w:t>
            </w:r>
          </w:p>
        </w:tc>
        <w:tc>
          <w:tcPr>
            <w:tcW w:w="1647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Источник значений показателей</w:t>
            </w:r>
          </w:p>
        </w:tc>
      </w:tr>
      <w:tr>
        <w:trPr/>
        <w:tc>
          <w:tcPr>
            <w:tcW w:w="709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</w:r>
          </w:p>
        </w:tc>
        <w:tc>
          <w:tcPr>
            <w:tcW w:w="1780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</w:r>
          </w:p>
        </w:tc>
        <w:tc>
          <w:tcPr>
            <w:tcW w:w="1187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</w:r>
          </w:p>
        </w:tc>
        <w:tc>
          <w:tcPr>
            <w:tcW w:w="140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</w:r>
          </w:p>
        </w:tc>
        <w:tc>
          <w:tcPr>
            <w:tcW w:w="753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2019</w:t>
            </w:r>
          </w:p>
        </w:tc>
        <w:tc>
          <w:tcPr>
            <w:tcW w:w="696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2020</w:t>
            </w:r>
          </w:p>
        </w:tc>
        <w:tc>
          <w:tcPr>
            <w:tcW w:w="696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2021</w:t>
            </w:r>
          </w:p>
        </w:tc>
        <w:tc>
          <w:tcPr>
            <w:tcW w:w="695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2022</w:t>
            </w:r>
          </w:p>
        </w:tc>
        <w:tc>
          <w:tcPr>
            <w:tcW w:w="696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2023</w:t>
            </w:r>
          </w:p>
        </w:tc>
        <w:tc>
          <w:tcPr>
            <w:tcW w:w="696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2024</w:t>
            </w:r>
          </w:p>
        </w:tc>
        <w:tc>
          <w:tcPr>
            <w:tcW w:w="1647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ind w:right="-108" w:hanging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0248" w:type="dxa"/>
            <w:gridSpan w:val="10"/>
            <w:tcBorders/>
          </w:tcPr>
          <w:p>
            <w:pPr>
              <w:pStyle w:val="Normal"/>
              <w:widowControl w:val="false"/>
              <w:spacing w:before="0" w:after="0"/>
              <w:ind w:right="-108" w:hanging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Задача 2.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bidi="ar-SA"/>
              </w:rPr>
              <w:t>Создание условий для развития творческого потенциала населения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bidi="ar-SA"/>
              </w:rPr>
              <w:t>24</w:t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bidi="ar-SA"/>
              </w:rPr>
              <w:t>Количество специалистов, прошедших повышение квалификации на базе Центров непрерывного образования</w:t>
            </w:r>
          </w:p>
        </w:tc>
        <w:tc>
          <w:tcPr>
            <w:tcW w:w="1187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единиц</w:t>
            </w:r>
          </w:p>
        </w:tc>
        <w:tc>
          <w:tcPr>
            <w:tcW w:w="1402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53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696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696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695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696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696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64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right="-108" w:hanging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Национальный проект «Культура», региональный проект «Творческие люди»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bidi="ar-SA"/>
              </w:rPr>
              <w:t>25</w:t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bidi="ar-SA"/>
              </w:rPr>
              <w:t>Количество волонтеров, вовлеченных в программу «Волонтеры культуры»</w:t>
            </w:r>
          </w:p>
        </w:tc>
        <w:tc>
          <w:tcPr>
            <w:tcW w:w="1187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единиц</w:t>
            </w:r>
          </w:p>
        </w:tc>
        <w:tc>
          <w:tcPr>
            <w:tcW w:w="1402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53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696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696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695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696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696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164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right="-108" w:hanging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Национальный проект «Культура», региональный проект «Творческие люди»</w:t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Приложение № 5</w:t>
      </w:r>
    </w:p>
    <w:p>
      <w:pPr>
        <w:pStyle w:val="Normal"/>
        <w:jc w:val="right"/>
        <w:rPr/>
      </w:pPr>
      <w:r>
        <w:rPr/>
        <w:t>Утверждено постановлением Администрации                                               Артинского городского округа                                                                                            от "24" февраля 2022г. № 108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ad"/>
        <w:tblW w:w="10959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1780"/>
        <w:gridCol w:w="1187"/>
        <w:gridCol w:w="1402"/>
        <w:gridCol w:w="753"/>
        <w:gridCol w:w="696"/>
        <w:gridCol w:w="696"/>
        <w:gridCol w:w="695"/>
        <w:gridCol w:w="696"/>
        <w:gridCol w:w="696"/>
        <w:gridCol w:w="1647"/>
      </w:tblGrid>
      <w:tr>
        <w:trPr/>
        <w:tc>
          <w:tcPr>
            <w:tcW w:w="709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строки</w:t>
            </w:r>
          </w:p>
        </w:tc>
        <w:tc>
          <w:tcPr>
            <w:tcW w:w="1780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Наименование цели (целей) и задач, целевых показателей</w:t>
            </w:r>
          </w:p>
        </w:tc>
        <w:tc>
          <w:tcPr>
            <w:tcW w:w="1187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ind w:left="-67" w:right="-98" w:firstLine="6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1402" w:type="dxa"/>
            <w:vMerge w:val="restart"/>
            <w:tcBorders/>
          </w:tcPr>
          <w:p>
            <w:pPr>
              <w:pStyle w:val="ConsPlusCel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Справочно: базовое значение целевого показателя</w:t>
            </w:r>
          </w:p>
          <w:p>
            <w:pPr>
              <w:pStyle w:val="ConsPlusCel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 начало реализации программы</w:t>
            </w:r>
          </w:p>
        </w:tc>
        <w:tc>
          <w:tcPr>
            <w:tcW w:w="4232" w:type="dxa"/>
            <w:gridSpan w:val="6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Наименование цели (целей) и задач, целевых показателей</w:t>
            </w:r>
          </w:p>
        </w:tc>
        <w:tc>
          <w:tcPr>
            <w:tcW w:w="1647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Источник значений показателей</w:t>
            </w:r>
          </w:p>
        </w:tc>
      </w:tr>
      <w:tr>
        <w:trPr/>
        <w:tc>
          <w:tcPr>
            <w:tcW w:w="709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</w:r>
          </w:p>
        </w:tc>
        <w:tc>
          <w:tcPr>
            <w:tcW w:w="1780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</w:r>
          </w:p>
        </w:tc>
        <w:tc>
          <w:tcPr>
            <w:tcW w:w="1187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</w:r>
          </w:p>
        </w:tc>
        <w:tc>
          <w:tcPr>
            <w:tcW w:w="140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</w:r>
          </w:p>
        </w:tc>
        <w:tc>
          <w:tcPr>
            <w:tcW w:w="753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2019</w:t>
            </w:r>
          </w:p>
        </w:tc>
        <w:tc>
          <w:tcPr>
            <w:tcW w:w="696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2020</w:t>
            </w:r>
          </w:p>
        </w:tc>
        <w:tc>
          <w:tcPr>
            <w:tcW w:w="696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2021</w:t>
            </w:r>
          </w:p>
        </w:tc>
        <w:tc>
          <w:tcPr>
            <w:tcW w:w="695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2022</w:t>
            </w:r>
          </w:p>
        </w:tc>
        <w:tc>
          <w:tcPr>
            <w:tcW w:w="696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2023</w:t>
            </w:r>
          </w:p>
        </w:tc>
        <w:tc>
          <w:tcPr>
            <w:tcW w:w="696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2024</w:t>
            </w:r>
          </w:p>
        </w:tc>
        <w:tc>
          <w:tcPr>
            <w:tcW w:w="1647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right="-108" w:hanging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248" w:type="dxa"/>
            <w:gridSpan w:val="10"/>
            <w:tcBorders/>
          </w:tcPr>
          <w:p>
            <w:pPr>
              <w:pStyle w:val="Normal"/>
              <w:widowControl w:val="false"/>
              <w:suppressAutoHyphens w:val="false"/>
              <w:overflowPunct w:val="false"/>
              <w:spacing w:before="0" w:after="0"/>
              <w:ind w:right="-108" w:hanging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Задача 3. Обеспечение условий для развития инновационной деятельности муниципальных учреждений культуры, формирование в Артинском городском округе информационного пространства, основанного на знаниях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bidi="ar-SA"/>
              </w:rPr>
              <w:t>36</w:t>
            </w:r>
          </w:p>
        </w:tc>
        <w:tc>
          <w:tcPr>
            <w:tcW w:w="17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bidi="ar-SA"/>
              </w:rPr>
              <w:t>Количество обращений к порталу «Культура Урала РФ»</w:t>
            </w:r>
          </w:p>
        </w:tc>
        <w:tc>
          <w:tcPr>
            <w:tcW w:w="1187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единиц</w:t>
            </w:r>
          </w:p>
        </w:tc>
        <w:tc>
          <w:tcPr>
            <w:tcW w:w="1402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53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696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696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695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240</w:t>
            </w:r>
          </w:p>
        </w:tc>
        <w:tc>
          <w:tcPr>
            <w:tcW w:w="696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305</w:t>
            </w:r>
          </w:p>
        </w:tc>
        <w:tc>
          <w:tcPr>
            <w:tcW w:w="696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400</w:t>
            </w:r>
          </w:p>
        </w:tc>
        <w:tc>
          <w:tcPr>
            <w:tcW w:w="164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right="-108" w:hanging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Национальный проект «Культура», региональный проект «Цифровая культура»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/>
        <w:t>Приложение № 6</w:t>
      </w:r>
    </w:p>
    <w:p>
      <w:pPr>
        <w:pStyle w:val="Normal"/>
        <w:jc w:val="right"/>
        <w:rPr/>
      </w:pPr>
      <w:r>
        <w:rPr/>
        <w:t>Утверждено постановлением Администрации                                               Артинского городского округа                                                                                            от "24" февраля 2022г. № 108</w:t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tbl>
      <w:tblPr>
        <w:tblStyle w:val="ad"/>
        <w:tblW w:w="1099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986"/>
        <w:gridCol w:w="1189"/>
        <w:gridCol w:w="1400"/>
        <w:gridCol w:w="754"/>
        <w:gridCol w:w="696"/>
        <w:gridCol w:w="696"/>
        <w:gridCol w:w="697"/>
        <w:gridCol w:w="696"/>
        <w:gridCol w:w="695"/>
        <w:gridCol w:w="1473"/>
      </w:tblGrid>
      <w:tr>
        <w:trPr/>
        <w:tc>
          <w:tcPr>
            <w:tcW w:w="708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строки</w:t>
            </w:r>
          </w:p>
        </w:tc>
        <w:tc>
          <w:tcPr>
            <w:tcW w:w="198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Наименование цели (целей) и задач, целевых показателей</w:t>
            </w:r>
          </w:p>
        </w:tc>
        <w:tc>
          <w:tcPr>
            <w:tcW w:w="1189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ind w:left="-67" w:right="-98" w:firstLine="6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1400" w:type="dxa"/>
            <w:vMerge w:val="restart"/>
            <w:tcBorders/>
          </w:tcPr>
          <w:p>
            <w:pPr>
              <w:pStyle w:val="ConsPlusCel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Справочно: базовое значение целевого показателя</w:t>
            </w:r>
          </w:p>
          <w:p>
            <w:pPr>
              <w:pStyle w:val="ConsPlusCel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 начало реализации программы</w:t>
            </w:r>
          </w:p>
        </w:tc>
        <w:tc>
          <w:tcPr>
            <w:tcW w:w="4234" w:type="dxa"/>
            <w:gridSpan w:val="6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Наименование цели (целей) и задач, целевых показателей</w:t>
            </w:r>
          </w:p>
        </w:tc>
        <w:tc>
          <w:tcPr>
            <w:tcW w:w="147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Источник значений показателей</w:t>
            </w:r>
          </w:p>
        </w:tc>
      </w:tr>
      <w:tr>
        <w:trPr/>
        <w:tc>
          <w:tcPr>
            <w:tcW w:w="70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</w:r>
          </w:p>
        </w:tc>
        <w:tc>
          <w:tcPr>
            <w:tcW w:w="198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</w:r>
          </w:p>
        </w:tc>
        <w:tc>
          <w:tcPr>
            <w:tcW w:w="1189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</w:r>
          </w:p>
        </w:tc>
        <w:tc>
          <w:tcPr>
            <w:tcW w:w="1400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2019</w:t>
            </w:r>
          </w:p>
        </w:tc>
        <w:tc>
          <w:tcPr>
            <w:tcW w:w="696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2020</w:t>
            </w:r>
          </w:p>
        </w:tc>
        <w:tc>
          <w:tcPr>
            <w:tcW w:w="696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2021</w:t>
            </w:r>
          </w:p>
        </w:tc>
        <w:tc>
          <w:tcPr>
            <w:tcW w:w="697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2022</w:t>
            </w:r>
          </w:p>
        </w:tc>
        <w:tc>
          <w:tcPr>
            <w:tcW w:w="696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2023</w:t>
            </w:r>
          </w:p>
        </w:tc>
        <w:tc>
          <w:tcPr>
            <w:tcW w:w="695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2024</w:t>
            </w:r>
          </w:p>
        </w:tc>
        <w:tc>
          <w:tcPr>
            <w:tcW w:w="147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0282" w:type="dxa"/>
            <w:gridSpan w:val="10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bidi="ar-SA"/>
              </w:rPr>
              <w:t>Задача 7. Обеспечение деятельности муниципальных учреждений культуры и искусства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bidi="ar-SA"/>
              </w:rPr>
              <w:t>45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bidi="ar-SA"/>
              </w:rPr>
              <w:t>Количество муниципальных учреждений культуры, освобожденных от уплаты земельного налога</w:t>
            </w:r>
          </w:p>
        </w:tc>
        <w:tc>
          <w:tcPr>
            <w:tcW w:w="1189" w:type="dxa"/>
            <w:tcBorders>
              <w:left w:val="nil"/>
            </w:tcBorders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единиц</w:t>
            </w:r>
          </w:p>
        </w:tc>
        <w:tc>
          <w:tcPr>
            <w:tcW w:w="1400" w:type="dxa"/>
            <w:tcBorders>
              <w:left w:val="nil"/>
            </w:tcBorders>
          </w:tcPr>
          <w:p>
            <w:pPr>
              <w:pStyle w:val="Style20"/>
              <w:widowControl w:val="false"/>
              <w:spacing w:before="0" w:after="0"/>
              <w:ind w:hanging="0"/>
              <w:jc w:val="center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</w:t>
            </w:r>
          </w:p>
        </w:tc>
        <w:tc>
          <w:tcPr>
            <w:tcW w:w="754" w:type="dxa"/>
            <w:tcBorders>
              <w:left w:val="nil"/>
            </w:tcBorders>
          </w:tcPr>
          <w:p>
            <w:pPr>
              <w:pStyle w:val="Style20"/>
              <w:widowControl w:val="false"/>
              <w:spacing w:before="0" w:after="0"/>
              <w:ind w:hanging="0"/>
              <w:jc w:val="center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</w:t>
            </w:r>
          </w:p>
        </w:tc>
        <w:tc>
          <w:tcPr>
            <w:tcW w:w="696" w:type="dxa"/>
            <w:tcBorders>
              <w:left w:val="nil"/>
            </w:tcBorders>
          </w:tcPr>
          <w:p>
            <w:pPr>
              <w:pStyle w:val="Style20"/>
              <w:widowControl w:val="false"/>
              <w:spacing w:before="0" w:after="0"/>
              <w:ind w:hanging="0"/>
              <w:jc w:val="center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</w:t>
            </w:r>
          </w:p>
        </w:tc>
        <w:tc>
          <w:tcPr>
            <w:tcW w:w="696" w:type="dxa"/>
            <w:tcBorders>
              <w:left w:val="nil"/>
            </w:tcBorders>
          </w:tcPr>
          <w:p>
            <w:pPr>
              <w:pStyle w:val="Style20"/>
              <w:widowControl w:val="false"/>
              <w:spacing w:before="0" w:after="0"/>
              <w:ind w:hanging="0"/>
              <w:jc w:val="center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</w:t>
            </w:r>
          </w:p>
        </w:tc>
        <w:tc>
          <w:tcPr>
            <w:tcW w:w="697" w:type="dxa"/>
            <w:tcBorders>
              <w:left w:val="nil"/>
            </w:tcBorders>
          </w:tcPr>
          <w:p>
            <w:pPr>
              <w:pStyle w:val="Style20"/>
              <w:widowControl w:val="false"/>
              <w:spacing w:before="0" w:after="0"/>
              <w:ind w:hanging="0"/>
              <w:jc w:val="center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</w:t>
            </w:r>
          </w:p>
        </w:tc>
        <w:tc>
          <w:tcPr>
            <w:tcW w:w="696" w:type="dxa"/>
            <w:tcBorders>
              <w:left w:val="nil"/>
            </w:tcBorders>
          </w:tcPr>
          <w:p>
            <w:pPr>
              <w:pStyle w:val="Style20"/>
              <w:widowControl w:val="false"/>
              <w:spacing w:before="0" w:after="0"/>
              <w:ind w:hanging="0"/>
              <w:jc w:val="center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</w:t>
            </w:r>
          </w:p>
        </w:tc>
        <w:tc>
          <w:tcPr>
            <w:tcW w:w="695" w:type="dxa"/>
            <w:tcBorders>
              <w:left w:val="nil"/>
            </w:tcBorders>
          </w:tcPr>
          <w:p>
            <w:pPr>
              <w:pStyle w:val="Style20"/>
              <w:widowControl w:val="false"/>
              <w:spacing w:before="0" w:after="0"/>
              <w:ind w:hanging="0"/>
              <w:jc w:val="center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</w:t>
            </w:r>
          </w:p>
        </w:tc>
        <w:tc>
          <w:tcPr>
            <w:tcW w:w="147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bidi="ar-SA"/>
              </w:rPr>
              <w:t>Налоговая декларация по земельному налогу</w:t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/>
        <w:t>Приложение № 7</w:t>
      </w:r>
    </w:p>
    <w:p>
      <w:pPr>
        <w:pStyle w:val="Normal"/>
        <w:jc w:val="right"/>
        <w:rPr/>
      </w:pPr>
      <w:r>
        <w:rPr/>
        <w:t>Утверждено постановлением Администрации                                               Артинского городского округа                                                                                            от "24" февраля 2022г. № 108</w:t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tbl>
      <w:tblPr>
        <w:tblStyle w:val="ad"/>
        <w:tblW w:w="10775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844"/>
        <w:gridCol w:w="1135"/>
        <w:gridCol w:w="1400"/>
        <w:gridCol w:w="697"/>
        <w:gridCol w:w="696"/>
        <w:gridCol w:w="696"/>
        <w:gridCol w:w="696"/>
        <w:gridCol w:w="696"/>
        <w:gridCol w:w="696"/>
        <w:gridCol w:w="1509"/>
      </w:tblGrid>
      <w:tr>
        <w:trPr/>
        <w:tc>
          <w:tcPr>
            <w:tcW w:w="708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строки</w:t>
            </w:r>
          </w:p>
        </w:tc>
        <w:tc>
          <w:tcPr>
            <w:tcW w:w="1844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Наименование цели (целей) и задач, целевых показателей</w:t>
            </w:r>
          </w:p>
        </w:tc>
        <w:tc>
          <w:tcPr>
            <w:tcW w:w="1135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ind w:left="-67" w:right="-98" w:firstLine="6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1400" w:type="dxa"/>
            <w:vMerge w:val="restart"/>
            <w:tcBorders/>
          </w:tcPr>
          <w:p>
            <w:pPr>
              <w:pStyle w:val="ConsPlusCel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Справочно: базовое значение целевого показателя</w:t>
            </w:r>
          </w:p>
          <w:p>
            <w:pPr>
              <w:pStyle w:val="ConsPlusCel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 начало реализации программы</w:t>
            </w:r>
          </w:p>
        </w:tc>
        <w:tc>
          <w:tcPr>
            <w:tcW w:w="4177" w:type="dxa"/>
            <w:gridSpan w:val="6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Наименование цели (целей) и задач, целевых показателей</w:t>
            </w:r>
          </w:p>
        </w:tc>
        <w:tc>
          <w:tcPr>
            <w:tcW w:w="1509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Источник значений показателей</w:t>
            </w:r>
          </w:p>
        </w:tc>
      </w:tr>
      <w:tr>
        <w:trPr/>
        <w:tc>
          <w:tcPr>
            <w:tcW w:w="708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</w:r>
          </w:p>
        </w:tc>
        <w:tc>
          <w:tcPr>
            <w:tcW w:w="113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</w:r>
          </w:p>
        </w:tc>
        <w:tc>
          <w:tcPr>
            <w:tcW w:w="1400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</w:r>
          </w:p>
        </w:tc>
        <w:tc>
          <w:tcPr>
            <w:tcW w:w="697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2019</w:t>
            </w:r>
          </w:p>
        </w:tc>
        <w:tc>
          <w:tcPr>
            <w:tcW w:w="696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2020</w:t>
            </w:r>
          </w:p>
        </w:tc>
        <w:tc>
          <w:tcPr>
            <w:tcW w:w="696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2021</w:t>
            </w:r>
          </w:p>
        </w:tc>
        <w:tc>
          <w:tcPr>
            <w:tcW w:w="696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2022</w:t>
            </w:r>
          </w:p>
        </w:tc>
        <w:tc>
          <w:tcPr>
            <w:tcW w:w="696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2023</w:t>
            </w:r>
          </w:p>
        </w:tc>
        <w:tc>
          <w:tcPr>
            <w:tcW w:w="696" w:type="dxa"/>
            <w:tcBorders/>
          </w:tcPr>
          <w:p>
            <w:pPr>
              <w:pStyle w:val="Style20"/>
              <w:widowControl w:val="false"/>
              <w:spacing w:before="0" w:after="0"/>
              <w:ind w:hanging="0"/>
              <w:rPr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ru-RU" w:bidi="ar-SA"/>
              </w:rPr>
              <w:t>2024</w:t>
            </w:r>
          </w:p>
        </w:tc>
        <w:tc>
          <w:tcPr>
            <w:tcW w:w="1509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ru-RU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ind w:right="-108" w:hanging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0065" w:type="dxa"/>
            <w:gridSpan w:val="10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overflowPunct w:val="false"/>
              <w:spacing w:before="0" w:after="0"/>
              <w:jc w:val="center"/>
              <w:outlineLvl w:val="4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Задача 1. Совершенствование подготовки выпускников муниципального образовательного учреждения в сфере культуры и искусства -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муниципальное бюджетное учреждение дополнительного образования «Артинская детская школа искусств»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bidi="ar-SA"/>
              </w:rPr>
              <w:t>52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bidi="ar-SA"/>
              </w:rPr>
              <w:t>Доля обеспеченности объектов дополнительного образования средствами антитеррористической защищенности</w:t>
            </w:r>
          </w:p>
        </w:tc>
        <w:tc>
          <w:tcPr>
            <w:tcW w:w="1135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1400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697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696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696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696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696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696" w:type="dxa"/>
            <w:tcBorders>
              <w:lef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5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right="-108" w:hanging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ППСО от 30.08.2016 г. № 595 -ПП</w:t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513f"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ar-SA" w:val="ru-RU" w:bidi="ar-SA"/>
    </w:rPr>
  </w:style>
  <w:style w:type="paragraph" w:styleId="2">
    <w:name w:val="Heading 2"/>
    <w:basedOn w:val="Normal"/>
    <w:next w:val="Normal"/>
    <w:qFormat/>
    <w:rsid w:val="003d513f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3d513f"/>
    <w:rPr/>
  </w:style>
  <w:style w:type="character" w:styleId="WWAbsatzStandardschriftart" w:customStyle="1">
    <w:name w:val="WW-Absatz-Standardschriftart"/>
    <w:qFormat/>
    <w:rsid w:val="003d513f"/>
    <w:rPr/>
  </w:style>
  <w:style w:type="character" w:styleId="WWAbsatzStandardschriftart1" w:customStyle="1">
    <w:name w:val="WW-Absatz-Standardschriftart1"/>
    <w:qFormat/>
    <w:rsid w:val="003d513f"/>
    <w:rPr/>
  </w:style>
  <w:style w:type="character" w:styleId="WWAbsatzStandardschriftart11" w:customStyle="1">
    <w:name w:val="WW-Absatz-Standardschriftart11"/>
    <w:qFormat/>
    <w:rsid w:val="003d513f"/>
    <w:rPr/>
  </w:style>
  <w:style w:type="character" w:styleId="WWAbsatzStandardschriftart111" w:customStyle="1">
    <w:name w:val="WW-Absatz-Standardschriftart111"/>
    <w:qFormat/>
    <w:rsid w:val="003d513f"/>
    <w:rPr/>
  </w:style>
  <w:style w:type="character" w:styleId="WW8Num1z0" w:customStyle="1">
    <w:name w:val="WW8Num1z0"/>
    <w:qFormat/>
    <w:rsid w:val="003d513f"/>
    <w:rPr>
      <w:rFonts w:ascii="Times New Roman" w:hAnsi="Times New Roman" w:eastAsia="Times New Roman" w:cs="Times New Roman"/>
    </w:rPr>
  </w:style>
  <w:style w:type="character" w:styleId="WW8Num1z1" w:customStyle="1">
    <w:name w:val="WW8Num1z1"/>
    <w:qFormat/>
    <w:rsid w:val="003d513f"/>
    <w:rPr>
      <w:rFonts w:ascii="Courier New" w:hAnsi="Courier New" w:cs="Courier New"/>
    </w:rPr>
  </w:style>
  <w:style w:type="character" w:styleId="WW8Num1z2" w:customStyle="1">
    <w:name w:val="WW8Num1z2"/>
    <w:qFormat/>
    <w:rsid w:val="003d513f"/>
    <w:rPr>
      <w:rFonts w:ascii="Wingdings" w:hAnsi="Wingdings"/>
    </w:rPr>
  </w:style>
  <w:style w:type="character" w:styleId="WW8Num1z3" w:customStyle="1">
    <w:name w:val="WW8Num1z3"/>
    <w:qFormat/>
    <w:rsid w:val="003d513f"/>
    <w:rPr>
      <w:rFonts w:ascii="Symbol" w:hAnsi="Symbol"/>
    </w:rPr>
  </w:style>
  <w:style w:type="character" w:styleId="1" w:customStyle="1">
    <w:name w:val="Основной шрифт абзаца1"/>
    <w:qFormat/>
    <w:rsid w:val="003d513f"/>
    <w:rPr/>
  </w:style>
  <w:style w:type="character" w:styleId="Style13" w:customStyle="1">
    <w:name w:val="Текст выноски Знак"/>
    <w:link w:val="ab"/>
    <w:uiPriority w:val="99"/>
    <w:semiHidden/>
    <w:qFormat/>
    <w:rsid w:val="00a543a5"/>
    <w:rPr>
      <w:rFonts w:ascii="Segoe UI" w:hAnsi="Segoe UI" w:cs="Segoe UI"/>
      <w:sz w:val="18"/>
      <w:szCs w:val="18"/>
      <w:lang w:eastAsia="ar-SA"/>
    </w:rPr>
  </w:style>
  <w:style w:type="character" w:styleId="Style14" w:customStyle="1">
    <w:name w:val="Основной текст с отступом Знак"/>
    <w:basedOn w:val="DefaultParagraphFont"/>
    <w:link w:val="a6"/>
    <w:qFormat/>
    <w:rsid w:val="006b177f"/>
    <w:rPr>
      <w:sz w:val="24"/>
      <w:szCs w:val="28"/>
      <w:lang w:eastAsia="ar-SA"/>
    </w:rPr>
  </w:style>
  <w:style w:type="paragraph" w:styleId="Style15" w:customStyle="1">
    <w:name w:val="Заголовок"/>
    <w:basedOn w:val="Normal"/>
    <w:next w:val="Style16"/>
    <w:qFormat/>
    <w:rsid w:val="003d513f"/>
    <w:pPr>
      <w:keepNext w:val="true"/>
      <w:spacing w:before="240" w:after="120"/>
    </w:pPr>
    <w:rPr>
      <w:rFonts w:ascii="Arial" w:hAnsi="Arial" w:eastAsia="Microsoft YaHei" w:cs="Mangal"/>
    </w:rPr>
  </w:style>
  <w:style w:type="paragraph" w:styleId="Style16">
    <w:name w:val="Body Text"/>
    <w:basedOn w:val="Normal"/>
    <w:rsid w:val="003d513f"/>
    <w:pPr>
      <w:spacing w:before="0" w:after="120"/>
    </w:pPr>
    <w:rPr/>
  </w:style>
  <w:style w:type="paragraph" w:styleId="Style17">
    <w:name w:val="List"/>
    <w:basedOn w:val="Style16"/>
    <w:rsid w:val="003d513f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1" w:customStyle="1">
    <w:name w:val="Название1"/>
    <w:basedOn w:val="Normal"/>
    <w:qFormat/>
    <w:rsid w:val="003d51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3d513f"/>
    <w:pPr>
      <w:suppressLineNumbers/>
    </w:pPr>
    <w:rPr>
      <w:rFonts w:cs="Mangal"/>
    </w:rPr>
  </w:style>
  <w:style w:type="paragraph" w:styleId="Style20">
    <w:name w:val="Body Text Indent"/>
    <w:basedOn w:val="Normal"/>
    <w:link w:val="a7"/>
    <w:rsid w:val="003d513f"/>
    <w:pPr>
      <w:ind w:firstLine="720"/>
      <w:jc w:val="both"/>
    </w:pPr>
    <w:rPr>
      <w:sz w:val="24"/>
    </w:rPr>
  </w:style>
  <w:style w:type="paragraph" w:styleId="ConsPlusNormal" w:customStyle="1">
    <w:name w:val="ConsPlusNormal"/>
    <w:qFormat/>
    <w:rsid w:val="003d513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eastAsia="ar-SA" w:val="ru-RU" w:bidi="ar-SA"/>
    </w:rPr>
  </w:style>
  <w:style w:type="paragraph" w:styleId="13" w:customStyle="1">
    <w:name w:val="Знак1"/>
    <w:basedOn w:val="Normal"/>
    <w:qFormat/>
    <w:rsid w:val="003d513f"/>
    <w:pPr>
      <w:widowControl/>
      <w:overflowPunct w:val="false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1" w:customStyle="1">
    <w:name w:val="Содержимое таблицы"/>
    <w:basedOn w:val="Normal"/>
    <w:qFormat/>
    <w:rsid w:val="003d513f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3d513f"/>
    <w:pPr>
      <w:jc w:val="center"/>
    </w:pPr>
    <w:rPr>
      <w:b/>
      <w:bCs/>
    </w:rPr>
  </w:style>
  <w:style w:type="paragraph" w:styleId="Style23" w:customStyle="1">
    <w:name w:val="Содержимое врезки"/>
    <w:basedOn w:val="Style16"/>
    <w:qFormat/>
    <w:rsid w:val="003d513f"/>
    <w:pPr/>
    <w:rPr/>
  </w:style>
  <w:style w:type="paragraph" w:styleId="ConsPlusCell" w:customStyle="1">
    <w:name w:val="ConsPlusCell"/>
    <w:uiPriority w:val="99"/>
    <w:qFormat/>
    <w:rsid w:val="009c4b8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a543a5"/>
    <w:pPr/>
    <w:rPr>
      <w:rFonts w:ascii="Segoe UI" w:hAnsi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8a5b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EC3D7-6940-43E5-AD1A-927E4497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Application>LibreOffice/7.2.6.2$Windows_X86_64 LibreOffice_project/b0ec3a565991f7569a5a7f5d24fed7f52653d754</Application>
  <AppVersion>15.0000</AppVersion>
  <Pages>12</Pages>
  <Words>2769</Words>
  <Characters>15788</Characters>
  <CharactersWithSpaces>18520</CharactersWithSpaces>
  <Paragraphs>37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2022-01-24T11:12:00Z</dcterms:created>
  <dc:creator>Админ</dc:creator>
  <dc:description/>
  <dc:language>ru-RU</dc:language>
  <cp:lastModifiedBy/>
  <cp:lastPrinted>2022-03-09T07:14:00Z</cp:lastPrinted>
  <dcterms:modified xsi:type="dcterms:W3CDTF">2022-11-25T11:05:55Z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